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Feedback Lab</w:t>
      </w:r>
    </w:p>
    <w:p>
      <w:r>
        <w:t>Make Feedback Worth Hearing</w:t>
        <w:br/>
        <w:t>Course outline mapped to Kolb’s Experiential Learning Cycle</w:t>
        <w:br/>
        <w:t>Prepared by Enas Noraddin</w:t>
      </w:r>
    </w:p>
    <w:p>
      <w:r>
        <w:t>Independent portfolio sample. This outline documents the learning design of the existing Feedback_Lab_Kolb.html module. It distinguishes implemented interactions from proposed assessment and workplace follow-up. No client engagement or measured learning impact is claimed.</w:t>
      </w:r>
    </w:p>
    <w:p>
      <w:pPr>
        <w:pStyle w:val="Heading2"/>
      </w:pPr>
      <w:r>
        <w:t>Course information</w:t>
      </w:r>
    </w:p>
    <w:p>
      <w:r>
        <w:t>Duration: approximately 12–15 minutes. Delivery: self-paced HTML module. Audience: workplace teams and managers. Prerequisites: basic workplace communication skills and access to a modern browser. Language: English. Companion artifact: Feedback_Lab_Kolb.html.</w:t>
      </w:r>
    </w:p>
    <w:p>
      <w:hyperlink r:id="rId11">
        <w:r>
          <w:rPr>
            <w:color w:val="006B62"/>
            <w:u w:val="single"/>
          </w:rPr>
          <w:t>Download companion HTML module — Feedback_Lab_Kolb.html</w:t>
        </w:r>
      </w:hyperlink>
    </w:p>
    <w:p>
      <w:r>
        <w:t>The companion link requires access to the original file. For a public portfolio, host the HTML at a stable web address and point the project’s “Try the module” button to that address. The file link above is not a public deployment.</w:t>
      </w:r>
    </w:p>
    <w:p>
      <w:pPr>
        <w:pStyle w:val="Heading2"/>
      </w:pPr>
      <w:r>
        <w:t>Performance need and learning purpose</w:t>
      </w:r>
    </w:p>
    <w:p>
      <w:r>
        <w:t>Design assumption: vague feedback or judgments about a colleague’s motives can make a conversation less useful. The module lets learners try an opening, reflect on its likely effect, learn a specific feedback approach and test it in a different scenario before planning workplace use.</w:t>
      </w:r>
    </w:p>
    <w:p>
      <w:pPr>
        <w:pStyle w:val="Heading2"/>
      </w:pPr>
      <w:r>
        <w:t>Learning objectives and evidence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720"/>
        <w:gridCol w:w="4968"/>
        <w:gridCol w:w="4680"/>
      </w:tblGrid>
      <w:tr>
        <w:trPr>
          <w:cantSplit/>
          <w:tblHeader/>
        </w:trPr>
        <w:tc>
          <w:tcPr>
            <w:tcW w:type="dxa" w:w="720"/>
            <w:vAlign w:val="center"/>
            <w:shd w:fill="17354A"/>
            <w:tcMar>
              <w:top w:w="85" w:type="dxa"/>
              <w:bottom w:w="85" w:type="dxa"/>
              <w:left w:w="85" w:type="dxa"/>
              <w:right w:w="85" w:type="dxa"/>
            </w:tcMar>
          </w:tcPr>
          <w:p>
            <w:pPr>
              <w:spacing w:after="60" w:line="245" w:lineRule="auto"/>
            </w:pPr>
            <w:r>
              <w:rPr>
                <w:rFonts w:ascii="Arial" w:hAnsi="Arial"/>
                <w:b/>
                <w:color w:val="FFFFFF"/>
                <w:sz w:val="18"/>
              </w:rPr>
              <w:t>Code</w:t>
            </w:r>
          </w:p>
        </w:tc>
        <w:tc>
          <w:tcPr>
            <w:tcW w:type="dxa" w:w="4968"/>
            <w:vAlign w:val="center"/>
            <w:shd w:fill="17354A"/>
            <w:tcMar>
              <w:top w:w="85" w:type="dxa"/>
              <w:bottom w:w="85" w:type="dxa"/>
              <w:left w:w="85" w:type="dxa"/>
              <w:right w:w="85" w:type="dxa"/>
            </w:tcMar>
          </w:tcPr>
          <w:p>
            <w:pPr>
              <w:spacing w:after="60" w:line="245" w:lineRule="auto"/>
            </w:pPr>
            <w:r>
              <w:rPr>
                <w:rFonts w:ascii="Arial" w:hAnsi="Arial"/>
                <w:b/>
                <w:color w:val="FFFFFF"/>
                <w:sz w:val="18"/>
              </w:rPr>
              <w:t>Learning objective</w:t>
            </w:r>
          </w:p>
        </w:tc>
        <w:tc>
          <w:tcPr>
            <w:tcW w:type="dxa" w:w="4680"/>
            <w:vAlign w:val="center"/>
            <w:shd w:fill="17354A"/>
            <w:tcMar>
              <w:top w:w="85" w:type="dxa"/>
              <w:bottom w:w="85" w:type="dxa"/>
              <w:left w:w="85" w:type="dxa"/>
              <w:right w:w="85" w:type="dxa"/>
            </w:tcMar>
          </w:tcPr>
          <w:p>
            <w:pPr>
              <w:spacing w:after="60" w:line="245" w:lineRule="auto"/>
            </w:pPr>
            <w:r>
              <w:rPr>
                <w:rFonts w:ascii="Arial" w:hAnsi="Arial"/>
                <w:b/>
                <w:color w:val="FFFFFF"/>
                <w:sz w:val="18"/>
              </w:rPr>
              <w:t>Implemented evidence</w:t>
            </w:r>
          </w:p>
        </w:tc>
      </w:tr>
      <w:tr>
        <w:trPr>
          <w:cantSplit/>
        </w:trPr>
        <w:tc>
          <w:tcPr>
            <w:tcW w:type="dxa" w:w="720"/>
            <w:vAlign w:val="center"/>
            <w:shd w:fill="F2F5F7"/>
            <w:tcMar>
              <w:top w:w="85" w:type="dxa"/>
              <w:bottom w:w="85" w:type="dxa"/>
              <w:left w:w="85" w:type="dxa"/>
              <w:right w:w="85" w:type="dxa"/>
            </w:tcMar>
          </w:tcPr>
          <w:p>
            <w:pPr>
              <w:spacing w:after="60" w:line="245" w:lineRule="auto"/>
            </w:pPr>
            <w:r>
              <w:rPr>
                <w:rFonts w:ascii="Arial" w:hAnsi="Arial"/>
                <w:b w:val="0"/>
                <w:color w:val="000000"/>
                <w:sz w:val="18"/>
              </w:rPr>
              <w:t>LO1</w:t>
            </w:r>
          </w:p>
        </w:tc>
        <w:tc>
          <w:tcPr>
            <w:tcW w:type="dxa" w:w="4968"/>
            <w:vAlign w:val="center"/>
            <w:shd w:fill="F2F5F7"/>
            <w:tcMar>
              <w:top w:w="85" w:type="dxa"/>
              <w:bottom w:w="85" w:type="dxa"/>
              <w:left w:w="85" w:type="dxa"/>
              <w:right w:w="85" w:type="dxa"/>
            </w:tcMar>
          </w:tcPr>
          <w:p>
            <w:pPr>
              <w:spacing w:after="60" w:line="245" w:lineRule="auto"/>
            </w:pPr>
            <w:r>
              <w:rPr>
                <w:rFonts w:ascii="Arial" w:hAnsi="Arial"/>
                <w:b w:val="0"/>
                <w:color w:val="000000"/>
                <w:sz w:val="18"/>
              </w:rPr>
              <w:t>Distinguish observable behavior from personal judgments.</w:t>
            </w:r>
          </w:p>
        </w:tc>
        <w:tc>
          <w:tcPr>
            <w:tcW w:type="dxa" w:w="4680"/>
            <w:vAlign w:val="center"/>
            <w:shd w:fill="F2F5F7"/>
            <w:tcMar>
              <w:top w:w="85" w:type="dxa"/>
              <w:bottom w:w="85" w:type="dxa"/>
              <w:left w:w="85" w:type="dxa"/>
              <w:right w:w="85" w:type="dxa"/>
            </w:tcMar>
          </w:tcPr>
          <w:p>
            <w:pPr>
              <w:spacing w:after="60" w:line="245" w:lineRule="auto"/>
            </w:pPr>
            <w:r>
              <w:rPr>
                <w:rFonts w:ascii="Arial" w:hAnsi="Arial"/>
                <w:b w:val="0"/>
                <w:color w:val="000000"/>
                <w:sz w:val="18"/>
              </w:rPr>
              <w:t>Opening exploration; reflection on facts and assumptions; Noor decision 1.</w:t>
            </w:r>
          </w:p>
        </w:tc>
      </w:tr>
      <w:tr>
        <w:trPr>
          <w:cantSplit/>
        </w:trPr>
        <w:tc>
          <w:tcPr>
            <w:tcW w:type="dxa" w:w="720"/>
            <w:vAlign w:val="center"/>
            <w:shd w:fill="FFFFFF"/>
            <w:tcMar>
              <w:top w:w="85" w:type="dxa"/>
              <w:bottom w:w="85" w:type="dxa"/>
              <w:left w:w="85" w:type="dxa"/>
              <w:right w:w="85" w:type="dxa"/>
            </w:tcMar>
          </w:tcPr>
          <w:p>
            <w:pPr>
              <w:spacing w:after="60" w:line="245" w:lineRule="auto"/>
            </w:pPr>
            <w:r>
              <w:rPr>
                <w:rFonts w:ascii="Arial" w:hAnsi="Arial"/>
                <w:b w:val="0"/>
                <w:color w:val="000000"/>
                <w:sz w:val="18"/>
              </w:rPr>
              <w:t>LO2</w:t>
            </w:r>
          </w:p>
        </w:tc>
        <w:tc>
          <w:tcPr>
            <w:tcW w:type="dxa" w:w="4968"/>
            <w:vAlign w:val="center"/>
            <w:shd w:fill="FFFFFF"/>
            <w:tcMar>
              <w:top w:w="85" w:type="dxa"/>
              <w:bottom w:w="85" w:type="dxa"/>
              <w:left w:w="85" w:type="dxa"/>
              <w:right w:w="85" w:type="dxa"/>
            </w:tcMar>
          </w:tcPr>
          <w:p>
            <w:pPr>
              <w:spacing w:after="60" w:line="245" w:lineRule="auto"/>
            </w:pPr>
            <w:r>
              <w:rPr>
                <w:rFonts w:ascii="Arial" w:hAnsi="Arial"/>
                <w:b w:val="0"/>
                <w:color w:val="000000"/>
                <w:sz w:val="18"/>
              </w:rPr>
              <w:t>Explain the impact of a behavior using concrete evidence.</w:t>
            </w:r>
          </w:p>
        </w:tc>
        <w:tc>
          <w:tcPr>
            <w:tcW w:type="dxa" w:w="4680"/>
            <w:vAlign w:val="center"/>
            <w:shd w:fill="FFFFFF"/>
            <w:tcMar>
              <w:top w:w="85" w:type="dxa"/>
              <w:bottom w:w="85" w:type="dxa"/>
              <w:left w:w="85" w:type="dxa"/>
              <w:right w:w="85" w:type="dxa"/>
            </w:tcMar>
          </w:tcPr>
          <w:p>
            <w:pPr>
              <w:spacing w:after="60" w:line="245" w:lineRule="auto"/>
            </w:pPr>
            <w:r>
              <w:rPr>
                <w:rFonts w:ascii="Arial" w:hAnsi="Arial"/>
                <w:b w:val="0"/>
                <w:color w:val="000000"/>
                <w:sz w:val="18"/>
              </w:rPr>
              <w:t>Report-delay example; situation–behavior–impact model; Noor decision 2.</w:t>
            </w:r>
          </w:p>
        </w:tc>
      </w:tr>
      <w:tr>
        <w:trPr>
          <w:cantSplit/>
        </w:trPr>
        <w:tc>
          <w:tcPr>
            <w:tcW w:type="dxa" w:w="720"/>
            <w:vAlign w:val="center"/>
            <w:shd w:fill="F2F5F7"/>
            <w:tcMar>
              <w:top w:w="85" w:type="dxa"/>
              <w:bottom w:w="85" w:type="dxa"/>
              <w:left w:w="85" w:type="dxa"/>
              <w:right w:w="85" w:type="dxa"/>
            </w:tcMar>
          </w:tcPr>
          <w:p>
            <w:pPr>
              <w:spacing w:after="60" w:line="245" w:lineRule="auto"/>
            </w:pPr>
            <w:r>
              <w:rPr>
                <w:rFonts w:ascii="Arial" w:hAnsi="Arial"/>
                <w:b w:val="0"/>
                <w:color w:val="000000"/>
                <w:sz w:val="18"/>
              </w:rPr>
              <w:t>LO3</w:t>
            </w:r>
          </w:p>
        </w:tc>
        <w:tc>
          <w:tcPr>
            <w:tcW w:type="dxa" w:w="4968"/>
            <w:vAlign w:val="center"/>
            <w:shd w:fill="F2F5F7"/>
            <w:tcMar>
              <w:top w:w="85" w:type="dxa"/>
              <w:bottom w:w="85" w:type="dxa"/>
              <w:left w:w="85" w:type="dxa"/>
              <w:right w:w="85" w:type="dxa"/>
            </w:tcMar>
          </w:tcPr>
          <w:p>
            <w:pPr>
              <w:spacing w:after="60" w:line="245" w:lineRule="auto"/>
            </w:pPr>
            <w:r>
              <w:rPr>
                <w:rFonts w:ascii="Arial" w:hAnsi="Arial"/>
                <w:b w:val="0"/>
                <w:color w:val="000000"/>
                <w:sz w:val="18"/>
              </w:rPr>
              <w:t>Choose a constructive opening and plan a next step that invites dialogue.</w:t>
            </w:r>
          </w:p>
        </w:tc>
        <w:tc>
          <w:tcPr>
            <w:tcW w:type="dxa" w:w="4680"/>
            <w:vAlign w:val="center"/>
            <w:shd w:fill="F2F5F7"/>
            <w:tcMar>
              <w:top w:w="85" w:type="dxa"/>
              <w:bottom w:w="85" w:type="dxa"/>
              <w:left w:w="85" w:type="dxa"/>
              <w:right w:w="85" w:type="dxa"/>
            </w:tcMar>
          </w:tcPr>
          <w:p>
            <w:pPr>
              <w:spacing w:after="60" w:line="245" w:lineRule="auto"/>
            </w:pPr>
            <w:r>
              <w:rPr>
                <w:rFonts w:ascii="Arial" w:hAnsi="Arial"/>
                <w:b w:val="0"/>
                <w:color w:val="000000"/>
                <w:sz w:val="18"/>
              </w:rPr>
              <w:t>Noor decision 3 and a written workplace action plan. Actual conversation performance is not observed in the HTML.</w:t>
            </w:r>
          </w:p>
        </w:tc>
      </w:tr>
    </w:tbl>
    <w:p>
      <w:pPr>
        <w:pStyle w:val="Heading2"/>
      </w:pPr>
      <w:r>
        <w:t>Design rationale</w:t>
      </w:r>
    </w:p>
    <w:p>
      <w:r>
        <w:t>Kolb’s cycle structures the learning: concrete experience, reflective observation, abstract conceptualization and active experimentation. Situation, behavior and impact, followed by dialogue, is the feedback skill being taught. The opening decision is a simulated experience; the final action plan prepares for a later real-world cycle.</w:t>
      </w:r>
    </w:p>
    <w:p>
      <w:r>
        <w:br w:type="page"/>
      </w:r>
    </w:p>
    <w:p>
      <w:pPr>
        <w:pStyle w:val="Heading1"/>
      </w:pPr>
      <w:r>
        <w:t>Learning Sequence and Theory Mapping</w:t>
      </w:r>
    </w:p>
    <w:p>
      <w:r>
        <w:t>The HTML contains six navigation stages. Four implement the core experiential cycle; the introduction and final transfer plan frame the experience. The following 15-minute allocation is a suggested pacing guide, not a timer enforced by the module.</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1656"/>
        <w:gridCol w:w="2448"/>
        <w:gridCol w:w="6264"/>
      </w:tblGrid>
      <w:tr>
        <w:trPr>
          <w:cantSplit/>
          <w:tblHeader/>
        </w:trPr>
        <w:tc>
          <w:tcPr>
            <w:tcW w:type="dxa" w:w="1656"/>
            <w:vAlign w:val="center"/>
            <w:shd w:fill="17354A"/>
            <w:tcMar>
              <w:top w:w="85" w:type="dxa"/>
              <w:bottom w:w="85" w:type="dxa"/>
              <w:left w:w="85" w:type="dxa"/>
              <w:right w:w="85" w:type="dxa"/>
            </w:tcMar>
          </w:tcPr>
          <w:p>
            <w:pPr>
              <w:spacing w:after="60" w:line="245" w:lineRule="auto"/>
            </w:pPr>
            <w:r>
              <w:rPr>
                <w:rFonts w:ascii="Arial" w:hAnsi="Arial"/>
                <w:b/>
                <w:color w:val="FFFFFF"/>
                <w:sz w:val="18"/>
              </w:rPr>
              <w:t>Stage and time</w:t>
            </w:r>
          </w:p>
        </w:tc>
        <w:tc>
          <w:tcPr>
            <w:tcW w:type="dxa" w:w="2448"/>
            <w:vAlign w:val="center"/>
            <w:shd w:fill="17354A"/>
            <w:tcMar>
              <w:top w:w="85" w:type="dxa"/>
              <w:bottom w:w="85" w:type="dxa"/>
              <w:left w:w="85" w:type="dxa"/>
              <w:right w:w="85" w:type="dxa"/>
            </w:tcMar>
          </w:tcPr>
          <w:p>
            <w:pPr>
              <w:spacing w:after="60" w:line="245" w:lineRule="auto"/>
            </w:pPr>
            <w:r>
              <w:rPr>
                <w:rFonts w:ascii="Arial" w:hAnsi="Arial"/>
                <w:b/>
                <w:color w:val="FFFFFF"/>
                <w:sz w:val="18"/>
              </w:rPr>
              <w:t>Learning design connection</w:t>
            </w:r>
          </w:p>
        </w:tc>
        <w:tc>
          <w:tcPr>
            <w:tcW w:type="dxa" w:w="6264"/>
            <w:vAlign w:val="center"/>
            <w:shd w:fill="17354A"/>
            <w:tcMar>
              <w:top w:w="85" w:type="dxa"/>
              <w:bottom w:w="85" w:type="dxa"/>
              <w:left w:w="85" w:type="dxa"/>
              <w:right w:w="85" w:type="dxa"/>
            </w:tcMar>
          </w:tcPr>
          <w:p>
            <w:pPr>
              <w:spacing w:after="60" w:line="245" w:lineRule="auto"/>
            </w:pPr>
            <w:r>
              <w:rPr>
                <w:rFonts w:ascii="Arial" w:hAnsi="Arial"/>
                <w:b/>
                <w:color w:val="FFFFFF"/>
                <w:sz w:val="18"/>
              </w:rPr>
              <w:t>Implemented activity and progression</w:t>
            </w:r>
          </w:p>
        </w:tc>
      </w:tr>
      <w:tr>
        <w:trPr>
          <w:cantSplit/>
        </w:trPr>
        <w:tc>
          <w:tcPr>
            <w:tcW w:type="dxa" w:w="1656"/>
            <w:vAlign w:val="center"/>
            <w:shd w:fill="F2F5F7"/>
            <w:tcMar>
              <w:top w:w="85" w:type="dxa"/>
              <w:bottom w:w="85" w:type="dxa"/>
              <w:left w:w="85" w:type="dxa"/>
              <w:right w:w="85" w:type="dxa"/>
            </w:tcMar>
          </w:tcPr>
          <w:p>
            <w:pPr>
              <w:spacing w:after="60" w:line="245" w:lineRule="auto"/>
            </w:pPr>
            <w:r>
              <w:rPr>
                <w:rFonts w:ascii="Arial" w:hAnsi="Arial"/>
                <w:b w:val="0"/>
                <w:color w:val="000000"/>
                <w:sz w:val="18"/>
              </w:rPr>
              <w:t>Get started</w:t>
              <w:br/>
              <w:t>1 minute</w:t>
            </w:r>
          </w:p>
        </w:tc>
        <w:tc>
          <w:tcPr>
            <w:tcW w:type="dxa" w:w="2448"/>
            <w:vAlign w:val="center"/>
            <w:shd w:fill="F2F5F7"/>
            <w:tcMar>
              <w:top w:w="85" w:type="dxa"/>
              <w:bottom w:w="85" w:type="dxa"/>
              <w:left w:w="85" w:type="dxa"/>
              <w:right w:w="85" w:type="dxa"/>
            </w:tcMar>
          </w:tcPr>
          <w:p>
            <w:pPr>
              <w:spacing w:after="60" w:line="245" w:lineRule="auto"/>
            </w:pPr>
            <w:r>
              <w:rPr>
                <w:rFonts w:ascii="Arial" w:hAnsi="Arial"/>
                <w:b w:val="0"/>
                <w:color w:val="000000"/>
                <w:sz w:val="18"/>
              </w:rPr>
              <w:t>Orientation to the cycle</w:t>
            </w:r>
          </w:p>
        </w:tc>
        <w:tc>
          <w:tcPr>
            <w:tcW w:type="dxa" w:w="6264"/>
            <w:vAlign w:val="center"/>
            <w:shd w:fill="F2F5F7"/>
            <w:tcMar>
              <w:top w:w="85" w:type="dxa"/>
              <w:bottom w:w="85" w:type="dxa"/>
              <w:left w:w="85" w:type="dxa"/>
              <w:right w:w="85" w:type="dxa"/>
            </w:tcMar>
          </w:tcPr>
          <w:p>
            <w:pPr>
              <w:spacing w:after="60" w:line="245" w:lineRule="auto"/>
            </w:pPr>
            <w:r>
              <w:rPr>
                <w:rFonts w:ascii="Arial" w:hAnsi="Arial"/>
                <w:b w:val="0"/>
                <w:color w:val="000000"/>
                <w:sz w:val="18"/>
              </w:rPr>
              <w:t>Introduces the objectives and learning approach. Explains that learners will make a decision before seeing the feedback model.</w:t>
            </w:r>
          </w:p>
        </w:tc>
      </w:tr>
      <w:tr>
        <w:trPr>
          <w:cantSplit/>
        </w:trPr>
        <w:tc>
          <w:tcPr>
            <w:tcW w:type="dxa" w:w="1656"/>
            <w:vAlign w:val="center"/>
            <w:shd w:fill="FFFFFF"/>
            <w:tcMar>
              <w:top w:w="85" w:type="dxa"/>
              <w:bottom w:w="85" w:type="dxa"/>
              <w:left w:w="85" w:type="dxa"/>
              <w:right w:w="85" w:type="dxa"/>
            </w:tcMar>
          </w:tcPr>
          <w:p>
            <w:pPr>
              <w:spacing w:after="60" w:line="245" w:lineRule="auto"/>
            </w:pPr>
            <w:r>
              <w:rPr>
                <w:rFonts w:ascii="Arial" w:hAnsi="Arial"/>
                <w:b w:val="0"/>
                <w:color w:val="000000"/>
                <w:sz w:val="18"/>
              </w:rPr>
              <w:t>Experience</w:t>
              <w:br/>
              <w:t>2 minutes</w:t>
            </w:r>
          </w:p>
        </w:tc>
        <w:tc>
          <w:tcPr>
            <w:tcW w:type="dxa" w:w="2448"/>
            <w:vAlign w:val="center"/>
            <w:shd w:fill="FFFFFF"/>
            <w:tcMar>
              <w:top w:w="85" w:type="dxa"/>
              <w:bottom w:w="85" w:type="dxa"/>
              <w:left w:w="85" w:type="dxa"/>
              <w:right w:w="85" w:type="dxa"/>
            </w:tcMar>
          </w:tcPr>
          <w:p>
            <w:pPr>
              <w:spacing w:after="60" w:line="245" w:lineRule="auto"/>
            </w:pPr>
            <w:r>
              <w:rPr>
                <w:rFonts w:ascii="Arial" w:hAnsi="Arial"/>
                <w:b w:val="0"/>
                <w:color w:val="000000"/>
                <w:sz w:val="18"/>
              </w:rPr>
              <w:t>Concrete experience</w:t>
            </w:r>
          </w:p>
        </w:tc>
        <w:tc>
          <w:tcPr>
            <w:tcW w:type="dxa" w:w="6264"/>
            <w:vAlign w:val="center"/>
            <w:shd w:fill="FFFFFF"/>
            <w:tcMar>
              <w:top w:w="85" w:type="dxa"/>
              <w:bottom w:w="85" w:type="dxa"/>
              <w:left w:w="85" w:type="dxa"/>
              <w:right w:w="85" w:type="dxa"/>
            </w:tcMar>
          </w:tcPr>
          <w:p>
            <w:pPr>
              <w:spacing w:after="60" w:line="245" w:lineRule="auto"/>
            </w:pPr>
            <w:r>
              <w:rPr>
                <w:rFonts w:ascii="Arial" w:hAnsi="Arial"/>
                <w:b w:val="0"/>
                <w:color w:val="000000"/>
                <w:sz w:val="18"/>
              </w:rPr>
              <w:t>Omar’s report totals do not match the source sheet and delay review. Learners choose one of three openings and see likely-effect feedback. The choice is exploratory and unscored; alternatives can be compared.</w:t>
            </w:r>
          </w:p>
        </w:tc>
      </w:tr>
      <w:tr>
        <w:trPr>
          <w:cantSplit/>
        </w:trPr>
        <w:tc>
          <w:tcPr>
            <w:tcW w:type="dxa" w:w="1656"/>
            <w:vAlign w:val="center"/>
            <w:shd w:fill="F2F5F7"/>
            <w:tcMar>
              <w:top w:w="85" w:type="dxa"/>
              <w:bottom w:w="85" w:type="dxa"/>
              <w:left w:w="85" w:type="dxa"/>
              <w:right w:w="85" w:type="dxa"/>
            </w:tcMar>
          </w:tcPr>
          <w:p>
            <w:pPr>
              <w:spacing w:after="60" w:line="245" w:lineRule="auto"/>
            </w:pPr>
            <w:r>
              <w:rPr>
                <w:rFonts w:ascii="Arial" w:hAnsi="Arial"/>
                <w:b w:val="0"/>
                <w:color w:val="000000"/>
                <w:sz w:val="18"/>
              </w:rPr>
              <w:t>Reflect</w:t>
              <w:br/>
              <w:t>3 minutes</w:t>
            </w:r>
          </w:p>
        </w:tc>
        <w:tc>
          <w:tcPr>
            <w:tcW w:type="dxa" w:w="2448"/>
            <w:vAlign w:val="center"/>
            <w:shd w:fill="F2F5F7"/>
            <w:tcMar>
              <w:top w:w="85" w:type="dxa"/>
              <w:bottom w:w="85" w:type="dxa"/>
              <w:left w:w="85" w:type="dxa"/>
              <w:right w:w="85" w:type="dxa"/>
            </w:tcMar>
          </w:tcPr>
          <w:p>
            <w:pPr>
              <w:spacing w:after="60" w:line="245" w:lineRule="auto"/>
            </w:pPr>
            <w:r>
              <w:rPr>
                <w:rFonts w:ascii="Arial" w:hAnsi="Arial"/>
                <w:b w:val="0"/>
                <w:color w:val="000000"/>
                <w:sz w:val="18"/>
              </w:rPr>
              <w:t>Reflective observation</w:t>
            </w:r>
          </w:p>
        </w:tc>
        <w:tc>
          <w:tcPr>
            <w:tcW w:type="dxa" w:w="6264"/>
            <w:vAlign w:val="center"/>
            <w:shd w:fill="F2F5F7"/>
            <w:tcMar>
              <w:top w:w="85" w:type="dxa"/>
              <w:bottom w:w="85" w:type="dxa"/>
              <w:left w:w="85" w:type="dxa"/>
              <w:right w:w="85" w:type="dxa"/>
            </w:tcMar>
          </w:tcPr>
          <w:p>
            <w:pPr>
              <w:spacing w:after="60" w:line="245" w:lineRule="auto"/>
            </w:pPr>
            <w:r>
              <w:rPr>
                <w:rFonts w:ascii="Arial" w:hAnsi="Arial"/>
                <w:b w:val="0"/>
                <w:color w:val="000000"/>
                <w:sz w:val="18"/>
              </w:rPr>
              <w:t>Learners explain how Omar might react and distinguish what is known from what is assumed. Both text fields require at least 20 characters to continue. The writing is not automatically assessed for quality.</w:t>
            </w:r>
          </w:p>
        </w:tc>
      </w:tr>
      <w:tr>
        <w:trPr>
          <w:cantSplit/>
        </w:trPr>
        <w:tc>
          <w:tcPr>
            <w:tcW w:type="dxa" w:w="1656"/>
            <w:vAlign w:val="center"/>
            <w:shd w:fill="FFFFFF"/>
            <w:tcMar>
              <w:top w:w="85" w:type="dxa"/>
              <w:bottom w:w="85" w:type="dxa"/>
              <w:left w:w="85" w:type="dxa"/>
              <w:right w:w="85" w:type="dxa"/>
            </w:tcMar>
          </w:tcPr>
          <w:p>
            <w:pPr>
              <w:spacing w:after="60" w:line="245" w:lineRule="auto"/>
            </w:pPr>
            <w:r>
              <w:rPr>
                <w:rFonts w:ascii="Arial" w:hAnsi="Arial"/>
                <w:b w:val="0"/>
                <w:color w:val="000000"/>
                <w:sz w:val="18"/>
              </w:rPr>
              <w:t>Understand</w:t>
              <w:br/>
              <w:t>3 minutes</w:t>
            </w:r>
          </w:p>
        </w:tc>
        <w:tc>
          <w:tcPr>
            <w:tcW w:type="dxa" w:w="2448"/>
            <w:vAlign w:val="center"/>
            <w:shd w:fill="FFFFFF"/>
            <w:tcMar>
              <w:top w:w="85" w:type="dxa"/>
              <w:bottom w:w="85" w:type="dxa"/>
              <w:left w:w="85" w:type="dxa"/>
              <w:right w:w="85" w:type="dxa"/>
            </w:tcMar>
          </w:tcPr>
          <w:p>
            <w:pPr>
              <w:spacing w:after="60" w:line="245" w:lineRule="auto"/>
            </w:pPr>
            <w:r>
              <w:rPr>
                <w:rFonts w:ascii="Arial" w:hAnsi="Arial"/>
                <w:b w:val="0"/>
                <w:color w:val="000000"/>
                <w:sz w:val="18"/>
              </w:rPr>
              <w:t>Abstract conceptualization</w:t>
            </w:r>
          </w:p>
        </w:tc>
        <w:tc>
          <w:tcPr>
            <w:tcW w:type="dxa" w:w="6264"/>
            <w:vAlign w:val="center"/>
            <w:shd w:fill="FFFFFF"/>
            <w:tcMar>
              <w:top w:w="85" w:type="dxa"/>
              <w:bottom w:w="85" w:type="dxa"/>
              <w:left w:w="85" w:type="dxa"/>
              <w:right w:w="85" w:type="dxa"/>
            </w:tcMar>
          </w:tcPr>
          <w:p>
            <w:pPr>
              <w:spacing w:after="60" w:line="245" w:lineRule="auto"/>
            </w:pPr>
            <w:r>
              <w:rPr>
                <w:rFonts w:ascii="Arial" w:hAnsi="Arial"/>
                <w:b w:val="0"/>
                <w:color w:val="000000"/>
                <w:sz w:val="18"/>
              </w:rPr>
              <w:t>Introduces situation, observable behavior and evidence-based impact. Shows an open question and an agreed next step. Learners consider a short self-check before continuing.</w:t>
            </w:r>
          </w:p>
        </w:tc>
      </w:tr>
      <w:tr>
        <w:trPr>
          <w:cantSplit/>
        </w:trPr>
        <w:tc>
          <w:tcPr>
            <w:tcW w:type="dxa" w:w="1656"/>
            <w:vAlign w:val="center"/>
            <w:shd w:fill="F2F5F7"/>
            <w:tcMar>
              <w:top w:w="85" w:type="dxa"/>
              <w:bottom w:w="85" w:type="dxa"/>
              <w:left w:w="85" w:type="dxa"/>
              <w:right w:w="85" w:type="dxa"/>
            </w:tcMar>
          </w:tcPr>
          <w:p>
            <w:pPr>
              <w:spacing w:after="60" w:line="245" w:lineRule="auto"/>
            </w:pPr>
            <w:r>
              <w:rPr>
                <w:rFonts w:ascii="Arial" w:hAnsi="Arial"/>
                <w:b w:val="0"/>
                <w:color w:val="000000"/>
                <w:sz w:val="18"/>
              </w:rPr>
              <w:t>Experiment</w:t>
              <w:br/>
              <w:t>4 minutes</w:t>
            </w:r>
          </w:p>
        </w:tc>
        <w:tc>
          <w:tcPr>
            <w:tcW w:type="dxa" w:w="2448"/>
            <w:vAlign w:val="center"/>
            <w:shd w:fill="F2F5F7"/>
            <w:tcMar>
              <w:top w:w="85" w:type="dxa"/>
              <w:bottom w:w="85" w:type="dxa"/>
              <w:left w:w="85" w:type="dxa"/>
              <w:right w:w="85" w:type="dxa"/>
            </w:tcMar>
          </w:tcPr>
          <w:p>
            <w:pPr>
              <w:spacing w:after="60" w:line="245" w:lineRule="auto"/>
            </w:pPr>
            <w:r>
              <w:rPr>
                <w:rFonts w:ascii="Arial" w:hAnsi="Arial"/>
                <w:b w:val="0"/>
                <w:color w:val="000000"/>
                <w:sz w:val="18"/>
              </w:rPr>
              <w:t>Active experimentation in a new simulation</w:t>
            </w:r>
          </w:p>
        </w:tc>
        <w:tc>
          <w:tcPr>
            <w:tcW w:type="dxa" w:w="6264"/>
            <w:vAlign w:val="center"/>
            <w:shd w:fill="F2F5F7"/>
            <w:tcMar>
              <w:top w:w="85" w:type="dxa"/>
              <w:bottom w:w="85" w:type="dxa"/>
              <w:left w:w="85" w:type="dxa"/>
              <w:right w:w="85" w:type="dxa"/>
            </w:tcMar>
          </w:tcPr>
          <w:p>
            <w:pPr>
              <w:spacing w:after="60" w:line="245" w:lineRule="auto"/>
            </w:pPr>
            <w:r>
              <w:rPr>
                <w:rFonts w:ascii="Arial" w:hAnsi="Arial"/>
                <w:b w:val="0"/>
                <w:color w:val="000000"/>
                <w:sz w:val="18"/>
              </w:rPr>
              <w:t>Noor interrupts during a client call. Three decisions test behavior description, proportionate impact and an invitation to dialogue. Learners check all answers, review explanations and retry until 3 / 3.</w:t>
            </w:r>
          </w:p>
        </w:tc>
      </w:tr>
      <w:tr>
        <w:trPr>
          <w:cantSplit/>
        </w:trPr>
        <w:tc>
          <w:tcPr>
            <w:tcW w:type="dxa" w:w="1656"/>
            <w:vAlign w:val="center"/>
            <w:shd w:fill="FFFFFF"/>
            <w:tcMar>
              <w:top w:w="85" w:type="dxa"/>
              <w:bottom w:w="85" w:type="dxa"/>
              <w:left w:w="85" w:type="dxa"/>
              <w:right w:w="85" w:type="dxa"/>
            </w:tcMar>
          </w:tcPr>
          <w:p>
            <w:pPr>
              <w:spacing w:after="60" w:line="245" w:lineRule="auto"/>
            </w:pPr>
            <w:r>
              <w:rPr>
                <w:rFonts w:ascii="Arial" w:hAnsi="Arial"/>
                <w:b w:val="0"/>
                <w:color w:val="000000"/>
                <w:sz w:val="18"/>
              </w:rPr>
              <w:t>Take it to work</w:t>
              <w:br/>
              <w:t>2 minutes</w:t>
            </w:r>
          </w:p>
        </w:tc>
        <w:tc>
          <w:tcPr>
            <w:tcW w:type="dxa" w:w="2448"/>
            <w:vAlign w:val="center"/>
            <w:shd w:fill="FFFFFF"/>
            <w:tcMar>
              <w:top w:w="85" w:type="dxa"/>
              <w:bottom w:w="85" w:type="dxa"/>
              <w:left w:w="85" w:type="dxa"/>
              <w:right w:w="85" w:type="dxa"/>
            </w:tcMar>
          </w:tcPr>
          <w:p>
            <w:pPr>
              <w:spacing w:after="60" w:line="245" w:lineRule="auto"/>
            </w:pPr>
            <w:r>
              <w:rPr>
                <w:rFonts w:ascii="Arial" w:hAnsi="Arial"/>
                <w:b w:val="0"/>
                <w:color w:val="000000"/>
                <w:sz w:val="18"/>
              </w:rPr>
              <w:t>Preparation for another experiential cycle</w:t>
            </w:r>
          </w:p>
        </w:tc>
        <w:tc>
          <w:tcPr>
            <w:tcW w:type="dxa" w:w="6264"/>
            <w:vAlign w:val="center"/>
            <w:shd w:fill="FFFFFF"/>
            <w:tcMar>
              <w:top w:w="85" w:type="dxa"/>
              <w:bottom w:w="85" w:type="dxa"/>
              <w:left w:w="85" w:type="dxa"/>
              <w:right w:w="85" w:type="dxa"/>
            </w:tcMar>
          </w:tcPr>
          <w:p>
            <w:pPr>
              <w:spacing w:after="60" w:line="245" w:lineRule="auto"/>
            </w:pPr>
            <w:r>
              <w:rPr>
                <w:rFonts w:ascii="Arial" w:hAnsi="Arial"/>
                <w:b w:val="0"/>
                <w:color w:val="000000"/>
                <w:sz w:val="18"/>
              </w:rPr>
              <w:t>Learners plan what to try, when and how to review the result. At least 20 characters are required. Completion and notes download support later use; the actual conversation happens outside the module.</w:t>
            </w:r>
          </w:p>
        </w:tc>
      </w:tr>
    </w:tbl>
    <w:p>
      <w:pPr>
        <w:pStyle w:val="Heading2"/>
      </w:pPr>
      <w:r>
        <w:t>Alignment between the opening and practice scenarios</w:t>
      </w:r>
    </w:p>
    <w:p>
      <w:r>
        <w:t>The report scenario introduces a distinction between labeling a person and describing a specific event. The client-call scenario changes the context while retaining the same skill: observe accurately, describe a supported impact and ask before assuming. This provides a short transfer opportunity within a simulation.</w:t>
      </w:r>
    </w:p>
    <w:p>
      <w:pPr>
        <w:pStyle w:val="Heading2"/>
      </w:pPr>
      <w:r>
        <w:t>Learner support and implementation boundaries</w:t>
      </w:r>
    </w:p>
    <w:p>
      <w:pPr>
        <w:pStyle w:val="ListBullet"/>
      </w:pPr>
      <w:r>
        <w:t>Navigation unlocks progressively; earlier unlocked stages can be revisited. The first scenario can be explored without a score penalty.</w:t>
      </w:r>
    </w:p>
    <w:p>
      <w:pPr>
        <w:pStyle w:val="ListBullet"/>
      </w:pPr>
      <w:r>
        <w:t>Reflection prompts, an optional facilitator reflection and explanatory quiz feedback provide guidance.</w:t>
      </w:r>
    </w:p>
    <w:p>
      <w:pPr>
        <w:pStyle w:val="ListBullet"/>
      </w:pPr>
      <w:r>
        <w:t>The standalone HTML saves progress locally when browser storage is available and offers a text notes download. It does not send completion or scores to an LMS.</w:t>
      </w:r>
    </w:p>
    <w:p>
      <w:r>
        <w:br w:type="page"/>
      </w:r>
    </w:p>
    <w:p>
      <w:pPr>
        <w:pStyle w:val="Heading1"/>
      </w:pPr>
      <w:r>
        <w:t>Assessment and Practical Task Rubric</w:t>
      </w:r>
    </w:p>
    <w:p>
      <w:pPr>
        <w:pStyle w:val="Heading2"/>
      </w:pPr>
      <w:r>
        <w:t>What the current HTML assesses</w:t>
      </w:r>
    </w:p>
    <w:p>
      <w:r>
        <w:t>The opening choice is unscored. The Experiment stage contains three automatically checked decisions: describe Noor’s observable behavior (LO1), use a supported impact statement (LO2), and invite perspective and agree a next step (LO3). All three must be correct to continue; retries include explanations. A final score of 3 / 3 shows success on those decisions after practice, not verified independent workplace competence.</w:t>
      </w:r>
    </w:p>
    <w:p>
      <w:r>
        <w:t>Reflection and action-plan fields use a minimum character count. That confirms text was entered; it does not establish the quality of reflection or the plan. Completion is recorded in the browser after the final plan is entered and the learner selects “Complete module.”</w:t>
      </w:r>
    </w:p>
    <w:p>
      <w:pPr>
        <w:pStyle w:val="Heading2"/>
      </w:pPr>
      <w:r>
        <w:t>Proposed reviewer-assessed practical task</w:t>
      </w:r>
    </w:p>
    <w:p>
      <w:r>
        <w:t>This extension is not implemented as automated scoring in the HTML and is additional to the 12–15-minute module. Allow approximately 10 minutes. Using a fresh fictional workplace case, write a feedback opening that identifies the situation, behavior and impact; add an open question and a proposed next step. Submit the response with the reflection and workplace plan from the downloaded notes.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160"/>
        <w:gridCol w:w="7200"/>
        <w:gridCol w:w="1008"/>
      </w:tblGrid>
      <w:tr>
        <w:trPr>
          <w:cantSplit/>
          <w:tblHeader/>
        </w:trPr>
        <w:tc>
          <w:tcPr>
            <w:tcW w:type="dxa" w:w="2160"/>
            <w:vAlign w:val="center"/>
            <w:shd w:fill="17354A"/>
            <w:tcMar>
              <w:top w:w="85" w:type="dxa"/>
              <w:bottom w:w="85" w:type="dxa"/>
              <w:left w:w="85" w:type="dxa"/>
              <w:right w:w="85" w:type="dxa"/>
            </w:tcMar>
          </w:tcPr>
          <w:p>
            <w:pPr>
              <w:spacing w:after="60" w:line="245" w:lineRule="auto"/>
            </w:pPr>
            <w:r>
              <w:rPr>
                <w:rFonts w:ascii="Arial" w:hAnsi="Arial"/>
                <w:b/>
                <w:color w:val="FFFFFF"/>
                <w:sz w:val="18"/>
              </w:rPr>
              <w:t>Criterion</w:t>
            </w:r>
          </w:p>
        </w:tc>
        <w:tc>
          <w:tcPr>
            <w:tcW w:type="dxa" w:w="7200"/>
            <w:vAlign w:val="center"/>
            <w:shd w:fill="17354A"/>
            <w:tcMar>
              <w:top w:w="85" w:type="dxa"/>
              <w:bottom w:w="85" w:type="dxa"/>
              <w:left w:w="85" w:type="dxa"/>
              <w:right w:w="85" w:type="dxa"/>
            </w:tcMar>
          </w:tcPr>
          <w:p>
            <w:pPr>
              <w:spacing w:after="60" w:line="245" w:lineRule="auto"/>
            </w:pPr>
            <w:r>
              <w:rPr>
                <w:rFonts w:ascii="Arial" w:hAnsi="Arial"/>
                <w:b/>
                <w:color w:val="FFFFFF"/>
                <w:sz w:val="18"/>
              </w:rPr>
              <w:t>Observable standard for full achievement</w:t>
            </w:r>
          </w:p>
        </w:tc>
        <w:tc>
          <w:tcPr>
            <w:tcW w:type="dxa" w:w="1008"/>
            <w:vAlign w:val="center"/>
            <w:shd w:fill="17354A"/>
            <w:tcMar>
              <w:top w:w="85" w:type="dxa"/>
              <w:bottom w:w="85" w:type="dxa"/>
              <w:left w:w="85" w:type="dxa"/>
              <w:right w:w="85" w:type="dxa"/>
            </w:tcMar>
          </w:tcPr>
          <w:p>
            <w:pPr>
              <w:spacing w:after="60" w:line="245" w:lineRule="auto"/>
            </w:pPr>
            <w:r>
              <w:rPr>
                <w:rFonts w:ascii="Arial" w:hAnsi="Arial"/>
                <w:b/>
                <w:color w:val="FFFFFF"/>
                <w:sz w:val="18"/>
              </w:rPr>
              <w:t>Score</w:t>
            </w:r>
          </w:p>
        </w:tc>
      </w:tr>
      <w:tr>
        <w:trPr>
          <w:cantSplit/>
        </w:trPr>
        <w:tc>
          <w:tcPr>
            <w:tcW w:type="dxa" w:w="2160"/>
            <w:vAlign w:val="center"/>
            <w:shd w:fill="F2F5F7"/>
            <w:tcMar>
              <w:top w:w="85" w:type="dxa"/>
              <w:bottom w:w="85" w:type="dxa"/>
              <w:left w:w="85" w:type="dxa"/>
              <w:right w:w="85" w:type="dxa"/>
            </w:tcMar>
          </w:tcPr>
          <w:p>
            <w:pPr>
              <w:spacing w:after="60" w:line="245" w:lineRule="auto"/>
            </w:pPr>
            <w:r>
              <w:rPr>
                <w:rFonts w:ascii="Arial" w:hAnsi="Arial"/>
                <w:b w:val="0"/>
                <w:color w:val="000000"/>
                <w:sz w:val="18"/>
              </w:rPr>
              <w:t>1  Reflection</w:t>
              <w:br/>
              <w:t>LO1</w:t>
            </w:r>
          </w:p>
        </w:tc>
        <w:tc>
          <w:tcPr>
            <w:tcW w:type="dxa" w:w="7200"/>
            <w:vAlign w:val="center"/>
            <w:shd w:fill="F2F5F7"/>
            <w:tcMar>
              <w:top w:w="85" w:type="dxa"/>
              <w:bottom w:w="85" w:type="dxa"/>
              <w:left w:w="85" w:type="dxa"/>
              <w:right w:w="85" w:type="dxa"/>
            </w:tcMar>
          </w:tcPr>
          <w:p>
            <w:pPr>
              <w:spacing w:after="60" w:line="245" w:lineRule="auto"/>
            </w:pPr>
            <w:r>
              <w:rPr>
                <w:rFonts w:ascii="Arial" w:hAnsi="Arial"/>
                <w:b w:val="0"/>
                <w:color w:val="000000"/>
                <w:sz w:val="18"/>
              </w:rPr>
              <w:t>Separates observations from assumptions and explains a plausible reaction without treating that reaction as a fact.</w:t>
            </w:r>
          </w:p>
        </w:tc>
        <w:tc>
          <w:tcPr>
            <w:tcW w:type="dxa" w:w="1008"/>
            <w:vAlign w:val="center"/>
            <w:shd w:fill="F2F5F7"/>
            <w:tcMar>
              <w:top w:w="85" w:type="dxa"/>
              <w:bottom w:w="85" w:type="dxa"/>
              <w:left w:w="85" w:type="dxa"/>
              <w:right w:w="85" w:type="dxa"/>
            </w:tcMar>
          </w:tcPr>
          <w:p>
            <w:pPr>
              <w:spacing w:after="60" w:line="245" w:lineRule="auto"/>
            </w:pPr>
            <w:r>
              <w:rPr>
                <w:rFonts w:ascii="Arial" w:hAnsi="Arial"/>
                <w:b w:val="0"/>
                <w:color w:val="000000"/>
                <w:sz w:val="18"/>
              </w:rPr>
              <w:t>___ / 3</w:t>
            </w:r>
          </w:p>
        </w:tc>
      </w:tr>
      <w:tr>
        <w:trPr>
          <w:cantSplit/>
        </w:trPr>
        <w:tc>
          <w:tcPr>
            <w:tcW w:type="dxa" w:w="2160"/>
            <w:vAlign w:val="center"/>
            <w:shd w:fill="FFFFFF"/>
            <w:tcMar>
              <w:top w:w="85" w:type="dxa"/>
              <w:bottom w:w="85" w:type="dxa"/>
              <w:left w:w="85" w:type="dxa"/>
              <w:right w:w="85" w:type="dxa"/>
            </w:tcMar>
          </w:tcPr>
          <w:p>
            <w:pPr>
              <w:spacing w:after="60" w:line="245" w:lineRule="auto"/>
            </w:pPr>
            <w:r>
              <w:rPr>
                <w:rFonts w:ascii="Arial" w:hAnsi="Arial"/>
                <w:b w:val="0"/>
                <w:color w:val="000000"/>
                <w:sz w:val="18"/>
              </w:rPr>
              <w:t>2  Situation and behavior</w:t>
              <w:br/>
              <w:t>LO1</w:t>
            </w:r>
          </w:p>
        </w:tc>
        <w:tc>
          <w:tcPr>
            <w:tcW w:type="dxa" w:w="7200"/>
            <w:vAlign w:val="center"/>
            <w:shd w:fill="FFFFFF"/>
            <w:tcMar>
              <w:top w:w="85" w:type="dxa"/>
              <w:bottom w:w="85" w:type="dxa"/>
              <w:left w:w="85" w:type="dxa"/>
              <w:right w:w="85" w:type="dxa"/>
            </w:tcMar>
          </w:tcPr>
          <w:p>
            <w:pPr>
              <w:spacing w:after="60" w:line="245" w:lineRule="auto"/>
            </w:pPr>
            <w:r>
              <w:rPr>
                <w:rFonts w:ascii="Arial" w:hAnsi="Arial"/>
                <w:b w:val="0"/>
                <w:color w:val="000000"/>
                <w:sz w:val="18"/>
              </w:rPr>
              <w:t>Names a specific moment and describes an observable action without labels or guessed motives.</w:t>
            </w:r>
          </w:p>
        </w:tc>
        <w:tc>
          <w:tcPr>
            <w:tcW w:type="dxa" w:w="1008"/>
            <w:vAlign w:val="center"/>
            <w:shd w:fill="FFFFFF"/>
            <w:tcMar>
              <w:top w:w="85" w:type="dxa"/>
              <w:bottom w:w="85" w:type="dxa"/>
              <w:left w:w="85" w:type="dxa"/>
              <w:right w:w="85" w:type="dxa"/>
            </w:tcMar>
          </w:tcPr>
          <w:p>
            <w:pPr>
              <w:spacing w:after="60" w:line="245" w:lineRule="auto"/>
            </w:pPr>
            <w:r>
              <w:rPr>
                <w:rFonts w:ascii="Arial" w:hAnsi="Arial"/>
                <w:b w:val="0"/>
                <w:color w:val="000000"/>
                <w:sz w:val="18"/>
              </w:rPr>
              <w:t>___ / 3</w:t>
            </w:r>
          </w:p>
        </w:tc>
      </w:tr>
      <w:tr>
        <w:trPr>
          <w:cantSplit/>
        </w:trPr>
        <w:tc>
          <w:tcPr>
            <w:tcW w:type="dxa" w:w="2160"/>
            <w:vAlign w:val="center"/>
            <w:shd w:fill="F2F5F7"/>
            <w:tcMar>
              <w:top w:w="85" w:type="dxa"/>
              <w:bottom w:w="85" w:type="dxa"/>
              <w:left w:w="85" w:type="dxa"/>
              <w:right w:w="85" w:type="dxa"/>
            </w:tcMar>
          </w:tcPr>
          <w:p>
            <w:pPr>
              <w:spacing w:after="60" w:line="245" w:lineRule="auto"/>
            </w:pPr>
            <w:r>
              <w:rPr>
                <w:rFonts w:ascii="Arial" w:hAnsi="Arial"/>
                <w:b w:val="0"/>
                <w:color w:val="000000"/>
                <w:sz w:val="18"/>
              </w:rPr>
              <w:t>3  Supported impact</w:t>
              <w:br/>
              <w:t>LO2</w:t>
            </w:r>
          </w:p>
        </w:tc>
        <w:tc>
          <w:tcPr>
            <w:tcW w:type="dxa" w:w="7200"/>
            <w:vAlign w:val="center"/>
            <w:shd w:fill="F2F5F7"/>
            <w:tcMar>
              <w:top w:w="85" w:type="dxa"/>
              <w:bottom w:w="85" w:type="dxa"/>
              <w:left w:w="85" w:type="dxa"/>
              <w:right w:w="85" w:type="dxa"/>
            </w:tcMar>
          </w:tcPr>
          <w:p>
            <w:pPr>
              <w:spacing w:after="60" w:line="245" w:lineRule="auto"/>
            </w:pPr>
            <w:r>
              <w:rPr>
                <w:rFonts w:ascii="Arial" w:hAnsi="Arial"/>
                <w:b w:val="0"/>
                <w:color w:val="000000"/>
                <w:sz w:val="18"/>
              </w:rPr>
              <w:t>Explains an effect supported by the scenario, without exaggeration or unsupported claims.</w:t>
            </w:r>
          </w:p>
        </w:tc>
        <w:tc>
          <w:tcPr>
            <w:tcW w:type="dxa" w:w="1008"/>
            <w:vAlign w:val="center"/>
            <w:shd w:fill="F2F5F7"/>
            <w:tcMar>
              <w:top w:w="85" w:type="dxa"/>
              <w:bottom w:w="85" w:type="dxa"/>
              <w:left w:w="85" w:type="dxa"/>
              <w:right w:w="85" w:type="dxa"/>
            </w:tcMar>
          </w:tcPr>
          <w:p>
            <w:pPr>
              <w:spacing w:after="60" w:line="245" w:lineRule="auto"/>
            </w:pPr>
            <w:r>
              <w:rPr>
                <w:rFonts w:ascii="Arial" w:hAnsi="Arial"/>
                <w:b w:val="0"/>
                <w:color w:val="000000"/>
                <w:sz w:val="18"/>
              </w:rPr>
              <w:t>___ / 3</w:t>
            </w:r>
          </w:p>
        </w:tc>
      </w:tr>
      <w:tr>
        <w:trPr>
          <w:cantSplit/>
        </w:trPr>
        <w:tc>
          <w:tcPr>
            <w:tcW w:type="dxa" w:w="2160"/>
            <w:vAlign w:val="center"/>
            <w:shd w:fill="FFFFFF"/>
            <w:tcMar>
              <w:top w:w="85" w:type="dxa"/>
              <w:bottom w:w="85" w:type="dxa"/>
              <w:left w:w="85" w:type="dxa"/>
              <w:right w:w="85" w:type="dxa"/>
            </w:tcMar>
          </w:tcPr>
          <w:p>
            <w:pPr>
              <w:spacing w:after="60" w:line="245" w:lineRule="auto"/>
            </w:pPr>
            <w:r>
              <w:rPr>
                <w:rFonts w:ascii="Arial" w:hAnsi="Arial"/>
                <w:b w:val="0"/>
                <w:color w:val="000000"/>
                <w:sz w:val="18"/>
              </w:rPr>
              <w:t>4  Dialogue and transfer</w:t>
              <w:br/>
              <w:t>LO3</w:t>
            </w:r>
          </w:p>
        </w:tc>
        <w:tc>
          <w:tcPr>
            <w:tcW w:type="dxa" w:w="7200"/>
            <w:vAlign w:val="center"/>
            <w:shd w:fill="FFFFFF"/>
            <w:tcMar>
              <w:top w:w="85" w:type="dxa"/>
              <w:bottom w:w="85" w:type="dxa"/>
              <w:left w:w="85" w:type="dxa"/>
              <w:right w:w="85" w:type="dxa"/>
            </w:tcMar>
          </w:tcPr>
          <w:p>
            <w:pPr>
              <w:spacing w:after="60" w:line="245" w:lineRule="auto"/>
            </w:pPr>
            <w:r>
              <w:rPr>
                <w:rFonts w:ascii="Arial" w:hAnsi="Arial"/>
                <w:b w:val="0"/>
                <w:color w:val="000000"/>
                <w:sz w:val="18"/>
              </w:rPr>
              <w:t>Includes an open question, a feasible next step, a time to try it and a way to reflect on the result.</w:t>
            </w:r>
          </w:p>
        </w:tc>
        <w:tc>
          <w:tcPr>
            <w:tcW w:type="dxa" w:w="1008"/>
            <w:vAlign w:val="center"/>
            <w:shd w:fill="FFFFFF"/>
            <w:tcMar>
              <w:top w:w="85" w:type="dxa"/>
              <w:bottom w:w="85" w:type="dxa"/>
              <w:left w:w="85" w:type="dxa"/>
              <w:right w:w="85" w:type="dxa"/>
            </w:tcMar>
          </w:tcPr>
          <w:p>
            <w:pPr>
              <w:spacing w:after="60" w:line="245" w:lineRule="auto"/>
            </w:pPr>
            <w:r>
              <w:rPr>
                <w:rFonts w:ascii="Arial" w:hAnsi="Arial"/>
                <w:b w:val="0"/>
                <w:color w:val="000000"/>
                <w:sz w:val="18"/>
              </w:rPr>
              <w:t>___ / 3</w:t>
            </w:r>
          </w:p>
        </w:tc>
      </w:tr>
    </w:tbl>
    <w:p>
      <w:r>
        <w:t>Rating scale: 3 = meets the standard independently with clear evidence; 2 = meets the main requirements with a minor omission; 1 = partial demonstration with substantial gaps; 0 = no usable evidence or the criterion is not met. Suggested pass: at least 9 / 12, with no criterion below 2. A reviewer gives evidence-based feedback and requests a revision where needed. This is a proposed course standard.</w:t>
      </w:r>
    </w:p>
    <w:p>
      <w:r>
        <w:t>Reviewer record: Total ____ / 12. Decision: Meets standard / Revise. One strength: ____________________. Priority revision: ____________________. The rubric assesses written application; observing an actual conversation would require separate evidence.</w:t>
      </w:r>
    </w:p>
    <w:p>
      <w:pPr>
        <w:pStyle w:val="Heading2"/>
      </w:pPr>
      <w:r>
        <w:t>Workplace follow-up and portfolio connection</w:t>
      </w:r>
    </w:p>
    <w:p>
      <w:r>
        <w:t>Proposed follow-up after one week: ask whether the planned conversation occurred, what response was observed and what the learner would change next time. Treat self-report as indicative. Present this outline and the HTML as one portfolio case study: the outline explains the design; the module demonstrates the interactions. Do not describe the follow-up as implemented or report outcomes without collected evidence.</w:t>
      </w:r>
    </w:p>
    <w:p>
      <w:r>
        <w:t>Design reference: Kolb, D. A. (1984). Experiential Learning: Experience as the Source of Learning and Development. Prentice Hall. Companion source reviewed: Feedback_Lab_Kolb.html.</w:t>
      </w:r>
    </w:p>
    <w:sectPr w:rsidR="00FC693F" w:rsidRPr="0006063C" w:rsidSect="00034616">
      <w:headerReference w:type="default" r:id="rId9"/>
      <w:footerReference w:type="default" r:id="rId10"/>
      <w:pgSz w:w="12240" w:h="15840"/>
      <w:pgMar w:top="936"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Independent portfolio sample  |  Feedback Lab and Kolb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ENAS NORADDIN  |  LEARNING DESIGN PORTFOLIO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contextualSpacing/>
    </w:pPr>
    <w:rPr>
      <w:rFonts w:ascii="Arial" w:hAnsi="Arial"/>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atgpt.com/api/library/files/libfile_52ee429422d08191898a59eae2c2717a/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Feedback Lab Course Outline Based on Kolb</dc:title>
  <dc:subject>Portfolio outline aligned to the Feedback Lab HTML module</dc:subject>
  <dc:creator>Enas Noraddin</dc:creator>
  <cp:keywords/>
  <dc:description>generated by python-docx</dc:description>
  <cp:lastModifiedBy>Enas Noraddin</cp:lastModifiedBy>
  <cp:revision>1</cp:revision>
  <dcterms:created xsi:type="dcterms:W3CDTF">2013-12-23T23:15:00Z</dcterms:created>
  <dcterms:modified xsi:type="dcterms:W3CDTF">2013-12-23T23:15:00Z</dcterms:modified>
  <cp:category/>
</cp:coreProperties>
</file>